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</w:pPr>
      <w:r>
        <w:rPr/>
        <w:drawing>
          <wp:inline distT="0" distB="0" distL="0" distR="0">
            <wp:extent cx="5914390" cy="4191000"/>
            <wp:effectExtent l="0" t="0" r="0" b="0"/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17" t="376" r="70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1809750</wp:posOffset>
                </wp:positionH>
                <wp:positionV relativeFrom="paragraph">
                  <wp:posOffset>2695575</wp:posOffset>
                </wp:positionV>
                <wp:extent cx="2591435" cy="934085"/>
                <wp:effectExtent l="38100" t="38100" r="38100" b="3810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93348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76320">
                          <a:solidFill>
                            <a:srgbClr val="9933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Ink Free" w:hAnsi="Ink Free"/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Hey, this could be our new Thanksgiving tradition.”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#cc3300" stroked="t" style="position:absolute;margin-left:142.5pt;margin-top:212.25pt;width:203.95pt;height:73.45pt;mso-position-horizontal-relative:margin">
                <w10:wrap type="square"/>
                <v:fill o:detectmouseclick="t" type="solid" color2="#33ccff"/>
                <v:stroke color="#993300" weight="7632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Ink Free" w:hAnsi="Ink Free"/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Ink Free" w:hAnsi="Ink Free"/>
                          <w:b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32"/>
                          <w:szCs w:val="32"/>
                        </w:rPr>
                        <w:t>Hey, this could be our new Thanksgiving tradition.”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Bradley Hand ITC" w:hAnsi="Bradley Hand ITC"/>
          <w:color w:val="833C0B" w:themeColor="accent2" w:themeShade="80"/>
          <w:sz w:val="28"/>
          <w:szCs w:val="28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adley Hand ITC" w:hAnsi="Bradley Hand ITC"/>
          <w:color w:val="833C0B" w:themeColor="accent2" w:themeShade="80"/>
          <w:sz w:val="28"/>
          <w:szCs w:val="28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You are invited to the 1</w:t>
      </w:r>
      <w:r>
        <w:rPr>
          <w:rFonts w:ascii="Bradley Hand ITC" w:hAnsi="Bradley Hand ITC"/>
          <w:color w:val="833C0B" w:themeColor="accent2" w:themeShade="80"/>
          <w:sz w:val="28"/>
          <w:szCs w:val="28"/>
          <w:vertAlign w:val="superscript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>
        <w:rPr>
          <w:rFonts w:ascii="Bradley Hand ITC" w:hAnsi="Bradley Hand ITC"/>
          <w:color w:val="833C0B" w:themeColor="accent2" w:themeShade="80"/>
          <w:sz w:val="28"/>
          <w:szCs w:val="28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 xml:space="preserve"> Region 4 South AMH…</w:t>
      </w:r>
    </w:p>
    <w:p>
      <w:pPr>
        <w:pStyle w:val="Normal"/>
        <w:spacing w:before="0" w:after="0"/>
        <w:jc w:val="center"/>
        <w:rPr>
          <w:rFonts w:ascii="Bradley Hand ITC" w:hAnsi="Bradley Hand ITC"/>
          <w:b/>
          <w:b/>
          <w:color w:val="CC3300"/>
          <w:sz w:val="72"/>
          <w:szCs w:val="72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adley Hand ITC" w:hAnsi="Bradley Hand ITC"/>
          <w:b/>
          <w:color w:val="CC3300"/>
          <w:sz w:val="72"/>
          <w:szCs w:val="72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Bradley Hand ITC" w:hAnsi="Bradley Hand ITC"/>
          <w:b/>
          <w:color w:val="CC3300"/>
          <w:sz w:val="72"/>
          <w:szCs w:val="72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Grateful Get-Together”</w:t>
      </w:r>
    </w:p>
    <w:p>
      <w:pPr>
        <w:pStyle w:val="Normal"/>
        <w:spacing w:lineRule="auto" w:line="240" w:before="0" w:after="0"/>
        <w:ind w:left="2160" w:hanging="0"/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adley Hand ITC" w:hAnsi="Bradley Hand ITC"/>
          <w:b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 xml:space="preserve">Date: </w:t>
      </w:r>
      <w:r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Tuesday, Nov. 21</w:t>
      </w:r>
      <w:r>
        <w:rPr>
          <w:rFonts w:ascii="Bradley Hand ITC" w:hAnsi="Bradley Hand ITC"/>
          <w:color w:val="833C0B" w:themeColor="accent2" w:themeShade="80"/>
          <w:sz w:val="40"/>
          <w:szCs w:val="40"/>
          <w:vertAlign w:val="superscript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st</w:t>
      </w:r>
    </w:p>
    <w:p>
      <w:pPr>
        <w:pStyle w:val="Normal"/>
        <w:spacing w:lineRule="auto" w:line="240" w:before="0" w:after="0"/>
        <w:ind w:left="1440" w:firstLine="720"/>
        <w:rPr>
          <w:rFonts w:ascii="Bradley Hand ITC" w:hAnsi="Bradley Hand ITC"/>
          <w:b/>
          <w:b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adley Hand ITC" w:hAnsi="Bradley Hand ITC"/>
          <w:b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 xml:space="preserve">Time: </w:t>
      </w:r>
      <w:r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3:30 – 7:30 p.m.</w:t>
      </w:r>
    </w:p>
    <w:p>
      <w:pPr>
        <w:pStyle w:val="Normal"/>
        <w:spacing w:lineRule="auto" w:line="240" w:before="0" w:after="0"/>
        <w:ind w:left="1440" w:firstLine="720"/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adley Hand ITC" w:hAnsi="Bradley Hand ITC"/>
          <w:b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 xml:space="preserve">Place: </w:t>
      </w:r>
      <w:r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Hoffman Community Center</w:t>
      </w:r>
    </w:p>
    <w:p>
      <w:pPr>
        <w:pStyle w:val="Normal"/>
        <w:spacing w:lineRule="auto" w:line="240" w:before="0" w:after="0"/>
        <w:ind w:left="2160" w:firstLine="720"/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127 Main Avenue West</w:t>
      </w:r>
    </w:p>
    <w:p>
      <w:pPr>
        <w:pStyle w:val="Normal"/>
        <w:spacing w:lineRule="auto" w:line="240" w:before="0" w:after="0"/>
        <w:ind w:left="2160" w:firstLine="720"/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>
        <w:rPr>
          <w:rFonts w:ascii="Bradley Hand ITC" w:hAnsi="Bradley Hand ITC"/>
          <w:color w:val="833C0B" w:themeColor="accent2" w:themeShade="80"/>
          <w:sz w:val="40"/>
          <w:szCs w:val="40"/>
          <w14:textOutline w14:w="9525" w14:cap="rnd" w14:cmpd="tri" w14:algn="ctr">
            <w14:solidFill>
              <w14:srgbClr w14:val="000000"/>
            </w14:solidFill>
            <w14:prstDash w14:val="solid"/>
            <w14:bevel/>
          </w14:textOutline>
        </w:rPr>
        <w:t>Hoffman, MN</w:t>
      </w:r>
    </w:p>
    <w:p>
      <w:pPr>
        <w:pStyle w:val="Normal"/>
        <w:jc w:val="center"/>
        <w:rPr>
          <w:rFonts w:ascii="Bradley Hand ITC" w:hAnsi="Bradley Hand ITC"/>
          <w:b/>
          <w:b/>
          <w:color w:val="833C0B" w:themeColor="accent2" w:themeShade="80"/>
          <w:sz w:val="12"/>
          <w:szCs w:val="12"/>
        </w:rPr>
      </w:pPr>
      <w:r>
        <w:rPr>
          <w:rFonts w:ascii="Bradley Hand ITC" w:hAnsi="Bradley Hand ITC"/>
          <w:b/>
          <w:color w:val="833C0B" w:themeColor="accent2" w:themeShade="80"/>
          <w:sz w:val="12"/>
          <w:szCs w:val="12"/>
        </w:rPr>
      </w:r>
    </w:p>
    <w:p>
      <w:pPr>
        <w:pStyle w:val="Normal"/>
        <w:jc w:val="center"/>
        <w:rPr>
          <w:rFonts w:ascii="Bradley Hand ITC" w:hAnsi="Bradley Hand ITC"/>
          <w:b/>
          <w:b/>
          <w:color w:val="A42700"/>
          <w:sz w:val="28"/>
          <w:szCs w:val="28"/>
        </w:rPr>
      </w:pPr>
      <w:r>
        <w:rPr>
          <w:rFonts w:ascii="Bradley Hand ITC" w:hAnsi="Bradley Hand ITC"/>
          <w:b/>
          <w:color w:val="A42700"/>
          <w:sz w:val="28"/>
          <w:szCs w:val="28"/>
        </w:rPr>
        <w:t>This festive gathering is intended for AMH DIC/Soc consumers from the Region 4 South counties of Douglas, Grant, Pope, Stevens and Traverse – providing an opportunity to socialize and establish new friendships outside usual social circles, share a Thanksgiving meal and enjoy some of the simple pleasures friendship and the season have to offer.  This event will include music, games of Corn Hole and “Turkey” BINGO, a “make &amp; take” fall Craft activity, Trivia contest and a supper buffet of some favorite comfort foods. We hope you will join us.</w:t>
      </w:r>
    </w:p>
    <w:p>
      <w:pPr>
        <w:pStyle w:val="Normal"/>
        <w:spacing w:before="0" w:after="160"/>
        <w:jc w:val="center"/>
        <w:rPr/>
      </w:pPr>
      <w:r>
        <w:rPr>
          <w:rFonts w:ascii="Bradley Hand ITC" w:hAnsi="Bradley Hand ITC"/>
          <w:b/>
          <w:color w:val="A42700"/>
          <w:sz w:val="28"/>
          <w:szCs w:val="28"/>
        </w:rPr>
        <w:t>To ensure plenty of comfort food is prepared for all, you must call _________________</w:t>
      </w:r>
      <w:bookmarkStart w:id="0" w:name="_GoBack"/>
      <w:bookmarkEnd w:id="0"/>
      <w:r>
        <w:rPr>
          <w:rFonts w:ascii="Bradley Hand ITC" w:hAnsi="Bradley Hand ITC"/>
          <w:b/>
          <w:color w:val="A42700"/>
          <w:sz w:val="28"/>
          <w:szCs w:val="28"/>
        </w:rPr>
        <w:t xml:space="preserve"> to sign up to attend this event by Monday, Nov. 13</w:t>
      </w:r>
      <w:r>
        <w:rPr>
          <w:rFonts w:ascii="Bradley Hand ITC" w:hAnsi="Bradley Hand ITC"/>
          <w:b/>
          <w:color w:val="A42700"/>
          <w:sz w:val="28"/>
          <w:szCs w:val="28"/>
          <w:vertAlign w:val="superscript"/>
        </w:rPr>
        <w:t>th</w:t>
      </w:r>
      <w:r>
        <w:rPr>
          <w:rFonts w:ascii="Bradley Hand ITC" w:hAnsi="Bradley Hand ITC"/>
          <w:b/>
          <w:color w:val="A42700"/>
          <w:sz w:val="28"/>
          <w:szCs w:val="28"/>
        </w:rPr>
        <w:t>.  Thank you.</w:t>
      </w:r>
    </w:p>
    <w:sectPr>
      <w:type w:val="nextPage"/>
      <w:pgSz w:w="12240" w:h="15840"/>
      <w:pgMar w:left="1296" w:right="1296" w:header="0" w:top="720" w:footer="0" w:bottom="43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k Free">
    <w:charset w:val="00"/>
    <w:family w:val="roman"/>
    <w:pitch w:val="variable"/>
  </w:font>
  <w:font w:name="Bradley Hand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LibreOffice/6.2.8.2$Windows_X86_64 LibreOffice_project/f82ddfca21ebc1e222a662a32b25c0c9d20169ee</Application>
  <Pages>2</Pages>
  <Words>154</Words>
  <Characters>778</Characters>
  <CharactersWithSpaces>932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2023-10-17T21:16:00Z</dcterms:created>
  <dc:creator>Cherie Rusch</dc:creator>
  <dc:description/>
  <dc:language>en-US</dc:language>
  <cp:lastModifiedBy>Cherie Rusch</cp:lastModifiedBy>
  <dcterms:modified xsi:type="dcterms:W3CDTF">2023-10-18T16:28:00Z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